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Grade </w:t>
      </w:r>
      <w:r w:rsidR="003415F3">
        <w:rPr>
          <w:rFonts w:asciiTheme="minorHAnsi" w:hAnsiTheme="minorHAnsi"/>
          <w:b/>
          <w:sz w:val="24"/>
          <w:szCs w:val="24"/>
        </w:rPr>
        <w:t>8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9A4457">
        <w:rPr>
          <w:rFonts w:asciiTheme="minorHAnsi" w:hAnsiTheme="minorHAnsi"/>
          <w:b/>
          <w:sz w:val="24"/>
          <w:szCs w:val="24"/>
        </w:rPr>
        <w:t xml:space="preserve"> Test Booklet</w:t>
      </w:r>
      <w:bookmarkStart w:id="0" w:name="_GoBack"/>
      <w:bookmarkEnd w:id="0"/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42636C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AF2A92" w:rsidRDefault="00AF2A92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42636C" w:rsidRPr="0042636C" w:rsidRDefault="0042636C" w:rsidP="0042636C">
      <w:pPr>
        <w:pStyle w:val="ListParagraph"/>
        <w:rPr>
          <w:rFonts w:asciiTheme="minorHAnsi" w:hAnsiTheme="minorHAnsi"/>
        </w:rPr>
      </w:pPr>
    </w:p>
    <w:p w:rsidR="00056FC5" w:rsidRPr="00056FC5" w:rsidRDefault="0042636C" w:rsidP="00056F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56FC5">
        <w:rPr>
          <w:rFonts w:asciiTheme="minorHAnsi" w:hAnsiTheme="minorHAnsi"/>
        </w:rPr>
        <w:t>Mathematical content is transcribed according to</w:t>
      </w:r>
      <w:r w:rsidRPr="0042636C">
        <w:t xml:space="preserve"> </w:t>
      </w:r>
      <w:r w:rsidR="00056FC5" w:rsidRPr="002F64E1">
        <w:rPr>
          <w:rFonts w:asciiTheme="minorHAnsi" w:hAnsiTheme="minorHAnsi"/>
          <w:i/>
        </w:rPr>
        <w:t>The Nemeth Braille Code for Mathematics and Science Notation,</w:t>
      </w:r>
      <w:r w:rsidR="00056FC5" w:rsidRPr="002F64E1">
        <w:rPr>
          <w:rFonts w:asciiTheme="minorHAnsi" w:hAnsiTheme="minorHAnsi"/>
        </w:rPr>
        <w:t xml:space="preserve"> 1972 Revision, 2007-2016 Updates including the </w:t>
      </w:r>
      <w:r w:rsidR="00056FC5" w:rsidRPr="002F64E1">
        <w:rPr>
          <w:rFonts w:asciiTheme="minorHAnsi" w:hAnsiTheme="minorHAnsi"/>
          <w:i/>
        </w:rPr>
        <w:t>Guidance for Transcription Using the Nemeth Code within UEB Contexts.</w:t>
      </w:r>
      <w:r w:rsidR="00056FC5">
        <w:rPr>
          <w:rFonts w:asciiTheme="minorHAnsi" w:hAnsiTheme="minorHAnsi"/>
          <w:i/>
        </w:rPr>
        <w:br/>
      </w:r>
    </w:p>
    <w:p w:rsidR="002A26B6" w:rsidRPr="005D4467" w:rsidRDefault="000F2208" w:rsidP="006A2C4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D4467">
        <w:rPr>
          <w:rFonts w:asciiTheme="minorHAnsi" w:hAnsiTheme="minorHAnsi"/>
        </w:rPr>
        <w:t>Braille pages are numbered sequentially in the lower right-hand corner.  The corresponding print page numbers are in the upper right-hand corner.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F021C8" w:rsidRDefault="00AF2A92" w:rsidP="00AF2A92">
      <w:pPr>
        <w:tabs>
          <w:tab w:val="left" w:pos="720"/>
          <w:tab w:val="left" w:pos="2160"/>
          <w:tab w:val="left" w:pos="2700"/>
        </w:tabs>
        <w:ind w:left="1530" w:hanging="15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3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Directions</w:t>
      </w:r>
    </w:p>
    <w:p w:rsidR="00AF2A92" w:rsidRDefault="00AF2A92" w:rsidP="00AF2A92">
      <w:pPr>
        <w:tabs>
          <w:tab w:val="left" w:pos="720"/>
          <w:tab w:val="left" w:pos="2160"/>
          <w:tab w:val="left" w:pos="2700"/>
        </w:tabs>
        <w:ind w:left="1890" w:hanging="18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Selected Response Instructions</w:t>
      </w:r>
    </w:p>
    <w:p w:rsidR="00AF2A92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Write your answer on the braille paper provided. Be sure to number your answers.</w:t>
      </w:r>
    </w:p>
    <w:p w:rsidR="004C4DB0" w:rsidRDefault="00AF2A92" w:rsidP="004C4DB0">
      <w:pPr>
        <w:tabs>
          <w:tab w:val="left" w:pos="720"/>
          <w:tab w:val="left" w:pos="2160"/>
          <w:tab w:val="left" w:pos="2700"/>
        </w:tabs>
        <w:ind w:left="1800" w:hanging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 w:rsidRPr="00AF2A92">
        <w:rPr>
          <w:rFonts w:asciiTheme="minorHAnsi" w:hAnsiTheme="minorHAnsi"/>
          <w:sz w:val="24"/>
          <w:szCs w:val="24"/>
        </w:rPr>
        <w:t>Multiple</w:t>
      </w:r>
      <w:r w:rsidR="004C4DB0">
        <w:rPr>
          <w:rFonts w:asciiTheme="minorHAnsi" w:hAnsiTheme="minorHAnsi"/>
          <w:sz w:val="24"/>
          <w:szCs w:val="24"/>
        </w:rPr>
        <w:t xml:space="preserve"> Selected Response Instructions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These items will require that mor</w:t>
      </w:r>
      <w:r w:rsidR="000A1562" w:rsidRPr="0026555A">
        <w:rPr>
          <w:rFonts w:asciiTheme="minorHAnsi" w:hAnsiTheme="minorHAnsi"/>
        </w:rPr>
        <w:t xml:space="preserve">e than one answer be selected. 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Be sure to write your answer</w:t>
      </w:r>
      <w:r w:rsidR="000A1562" w:rsidRPr="0026555A">
        <w:rPr>
          <w:rFonts w:asciiTheme="minorHAnsi" w:hAnsiTheme="minorHAnsi"/>
        </w:rPr>
        <w:t xml:space="preserve"> on the braille paper provided. </w:t>
      </w:r>
    </w:p>
    <w:p w:rsidR="004C4DB0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If you need to change an answer, use the full braille cell to erase completel</w:t>
      </w:r>
      <w:r w:rsidR="000A1562" w:rsidRPr="0026555A">
        <w:rPr>
          <w:rFonts w:asciiTheme="minorHAnsi" w:hAnsiTheme="minorHAnsi"/>
        </w:rPr>
        <w:t>y.</w:t>
      </w:r>
      <w:r w:rsidRPr="0026555A">
        <w:rPr>
          <w:rFonts w:asciiTheme="minorHAnsi" w:hAnsiTheme="minorHAnsi"/>
        </w:rPr>
        <w:t xml:space="preserve">      </w:t>
      </w:r>
    </w:p>
    <w:p w:rsidR="000A1562" w:rsidRDefault="00AF2A92" w:rsidP="000A1562">
      <w:pPr>
        <w:tabs>
          <w:tab w:val="left" w:pos="720"/>
          <w:tab w:val="left" w:pos="2160"/>
          <w:tab w:val="left" w:pos="2700"/>
        </w:tabs>
        <w:ind w:left="1890" w:hanging="180"/>
        <w:rPr>
          <w:rFonts w:asciiTheme="minorHAnsi" w:hAnsiTheme="minorHAnsi"/>
          <w:sz w:val="24"/>
          <w:szCs w:val="24"/>
        </w:rPr>
      </w:pPr>
      <w:r w:rsidRPr="00AF2A92">
        <w:rPr>
          <w:rFonts w:asciiTheme="minorHAnsi" w:hAnsiTheme="minorHAnsi"/>
          <w:sz w:val="24"/>
          <w:szCs w:val="24"/>
        </w:rPr>
        <w:t>Co</w:t>
      </w:r>
      <w:r w:rsidR="004C4DB0">
        <w:rPr>
          <w:rFonts w:asciiTheme="minorHAnsi" w:hAnsiTheme="minorHAnsi"/>
          <w:sz w:val="24"/>
          <w:szCs w:val="24"/>
        </w:rPr>
        <w:t>nstructed Response Instructions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 xml:space="preserve">In addition to selected response questions, there will be constructed response questions </w:t>
      </w:r>
      <w:r w:rsidR="000A1562" w:rsidRPr="0026555A">
        <w:rPr>
          <w:rFonts w:asciiTheme="minorHAnsi" w:hAnsiTheme="minorHAnsi"/>
        </w:rPr>
        <w:t xml:space="preserve">that require a written answer. </w:t>
      </w:r>
    </w:p>
    <w:p w:rsid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You may mark in your Test Book; however, be sure to write all your answers on the braille</w:t>
      </w:r>
      <w:r w:rsidR="000A1562" w:rsidRPr="0026555A">
        <w:rPr>
          <w:rFonts w:asciiTheme="minorHAnsi" w:hAnsiTheme="minorHAnsi"/>
        </w:rPr>
        <w:t xml:space="preserve"> paper provided. </w:t>
      </w:r>
    </w:p>
    <w:p w:rsidR="00AF2A92" w:rsidRPr="0026555A" w:rsidRDefault="00AF2A92" w:rsidP="0026555A">
      <w:pPr>
        <w:pStyle w:val="ListParagraph"/>
        <w:numPr>
          <w:ilvl w:val="0"/>
          <w:numId w:val="33"/>
        </w:numPr>
        <w:tabs>
          <w:tab w:val="left" w:pos="720"/>
          <w:tab w:val="left" w:pos="2160"/>
          <w:tab w:val="left" w:pos="2700"/>
        </w:tabs>
        <w:rPr>
          <w:rFonts w:asciiTheme="minorHAnsi" w:hAnsiTheme="minorHAnsi"/>
        </w:rPr>
      </w:pPr>
      <w:r w:rsidRPr="0026555A">
        <w:rPr>
          <w:rFonts w:asciiTheme="minorHAnsi" w:hAnsiTheme="minorHAnsi"/>
        </w:rPr>
        <w:t>Remember, only what you write on the braille paper provided will be scored.</w:t>
      </w:r>
    </w:p>
    <w:p w:rsidR="00F021C8" w:rsidRDefault="00F021C8" w:rsidP="00F021C8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F021C8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 w:rsidRPr="00F021C8">
        <w:rPr>
          <w:rFonts w:asciiTheme="minorHAnsi" w:hAnsiTheme="minorHAnsi"/>
          <w:sz w:val="24"/>
          <w:szCs w:val="24"/>
        </w:rPr>
        <w:t xml:space="preserve">Page </w:t>
      </w:r>
      <w:r w:rsidR="003415F3">
        <w:rPr>
          <w:rFonts w:asciiTheme="minorHAnsi" w:hAnsiTheme="minorHAnsi"/>
          <w:sz w:val="24"/>
          <w:szCs w:val="24"/>
        </w:rPr>
        <w:t>4</w:t>
      </w:r>
      <w:r w:rsidR="003415F3">
        <w:rPr>
          <w:rFonts w:asciiTheme="minorHAnsi" w:hAnsiTheme="minorHAnsi"/>
          <w:sz w:val="24"/>
          <w:szCs w:val="24"/>
        </w:rPr>
        <w:tab/>
      </w:r>
      <w:r w:rsidR="00C15B52" w:rsidRPr="001F69C5">
        <w:rPr>
          <w:rFonts w:asciiTheme="minorHAnsi" w:hAnsiTheme="minorHAnsi"/>
          <w:sz w:val="24"/>
          <w:szCs w:val="24"/>
        </w:rPr>
        <w:t>A transcriber’s note is included, “See diagram in the Tactile Graphic Supplement.”</w:t>
      </w:r>
      <w:r w:rsidR="00C15B52">
        <w:rPr>
          <w:rFonts w:asciiTheme="minorHAnsi" w:hAnsiTheme="minorHAnsi"/>
          <w:sz w:val="24"/>
          <w:szCs w:val="24"/>
        </w:rPr>
        <w:t xml:space="preserve"> </w:t>
      </w:r>
      <w:r w:rsidR="003415F3">
        <w:rPr>
          <w:rFonts w:asciiTheme="minorHAnsi" w:hAnsiTheme="minorHAnsi"/>
          <w:sz w:val="24"/>
          <w:szCs w:val="24"/>
        </w:rPr>
        <w:t>Three-dimensional diagram is presented and labeled “Side-view.”</w:t>
      </w:r>
      <w:r w:rsidR="0056555B">
        <w:rPr>
          <w:rFonts w:asciiTheme="minorHAnsi" w:hAnsiTheme="minorHAnsi"/>
          <w:sz w:val="24"/>
          <w:szCs w:val="24"/>
        </w:rPr>
        <w:t xml:space="preserve"> </w:t>
      </w:r>
      <w:r w:rsidR="00C15B52">
        <w:rPr>
          <w:rFonts w:asciiTheme="minorHAnsi" w:hAnsiTheme="minorHAnsi"/>
          <w:sz w:val="24"/>
          <w:szCs w:val="24"/>
        </w:rPr>
        <w:t xml:space="preserve">Jars 1 and 4 </w:t>
      </w:r>
      <w:r w:rsidR="003415F3">
        <w:rPr>
          <w:rFonts w:asciiTheme="minorHAnsi" w:hAnsiTheme="minorHAnsi"/>
          <w:sz w:val="24"/>
          <w:szCs w:val="24"/>
        </w:rPr>
        <w:t>shown in this view.</w:t>
      </w:r>
    </w:p>
    <w:p w:rsidR="003415F3" w:rsidRDefault="003415F3" w:rsidP="003415F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Page 10, #4</w:t>
      </w:r>
      <w:r>
        <w:rPr>
          <w:rFonts w:asciiTheme="minorHAnsi" w:hAnsiTheme="minorHAnsi"/>
          <w:sz w:val="24"/>
          <w:szCs w:val="24"/>
        </w:rPr>
        <w:tab/>
      </w:r>
      <w:r w:rsidR="00C15B52" w:rsidRPr="009653B3">
        <w:rPr>
          <w:rFonts w:asciiTheme="minorHAnsi" w:hAnsiTheme="minorHAnsi"/>
          <w:sz w:val="24"/>
          <w:szCs w:val="24"/>
        </w:rPr>
        <w:t>A t</w:t>
      </w:r>
      <w:r w:rsidRPr="009653B3">
        <w:rPr>
          <w:rFonts w:asciiTheme="minorHAnsi" w:hAnsiTheme="minorHAnsi"/>
          <w:sz w:val="24"/>
          <w:szCs w:val="24"/>
        </w:rPr>
        <w:t>ranscriber’s</w:t>
      </w:r>
      <w:r w:rsidR="00C15B52" w:rsidRPr="009653B3">
        <w:rPr>
          <w:rFonts w:asciiTheme="minorHAnsi" w:hAnsiTheme="minorHAnsi"/>
          <w:sz w:val="24"/>
          <w:szCs w:val="24"/>
        </w:rPr>
        <w:t xml:space="preserve"> n</w:t>
      </w:r>
      <w:r w:rsidRPr="009653B3">
        <w:rPr>
          <w:rFonts w:asciiTheme="minorHAnsi" w:hAnsiTheme="minorHAnsi"/>
          <w:sz w:val="24"/>
          <w:szCs w:val="24"/>
        </w:rPr>
        <w:t>ote is included before the question, “See Tactile Graphic Supplement to answer question 4.”</w:t>
      </w:r>
      <w:r w:rsidR="00C15B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Third paragraph is modified to read, “Follow the steps on the next page to complete…” First sentence in Step 1 is modified to read, “Look at the six particle…” First sentence in Step 2 is modified to read, “Ask your test administrator to write the letter…” First sentence in Step 3 is modified to read, “…model, ask your test administrator to write the letter…” </w:t>
      </w:r>
      <w:r w:rsidRPr="009653B3">
        <w:rPr>
          <w:rFonts w:asciiTheme="minorHAnsi" w:hAnsiTheme="minorHAnsi"/>
          <w:sz w:val="24"/>
          <w:szCs w:val="24"/>
        </w:rPr>
        <w:t>A transcriber’s note is included, “A duplicate page is provided, unbound, at the beginning of the Tactile Graphic Supplement to answer this question.”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3415F3" w:rsidRDefault="003415F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73" w:rsidRDefault="00D95373">
      <w:r>
        <w:separator/>
      </w:r>
    </w:p>
  </w:endnote>
  <w:endnote w:type="continuationSeparator" w:id="0">
    <w:p w:rsidR="00D95373" w:rsidRDefault="00D9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Default="00D9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457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373" w:rsidRDefault="00D95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73" w:rsidRDefault="00D95373">
      <w:r>
        <w:separator/>
      </w:r>
    </w:p>
  </w:footnote>
  <w:footnote w:type="continuationSeparator" w:id="0">
    <w:p w:rsidR="00D95373" w:rsidRDefault="00D9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73" w:rsidRPr="00356867" w:rsidRDefault="00D95373" w:rsidP="00010E30">
    <w:pPr>
      <w:pStyle w:val="Header"/>
      <w:ind w:left="6480"/>
      <w:jc w:val="right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     </w:t>
    </w:r>
    <w:r w:rsidR="003415F3" w:rsidRPr="003415F3">
      <w:rPr>
        <w:rFonts w:ascii="Calibri" w:hAnsi="Calibri"/>
        <w:sz w:val="24"/>
      </w:rPr>
      <w:t>DEPTSCI002</w:t>
    </w:r>
    <w:r>
      <w:rPr>
        <w:rFonts w:ascii="Calibri" w:hAnsi="Calibri"/>
        <w:sz w:val="24"/>
      </w:rPr>
      <w:tab/>
    </w:r>
  </w:p>
  <w:p w:rsidR="00D95373" w:rsidRDefault="00D95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E059A1"/>
    <w:multiLevelType w:val="hybridMultilevel"/>
    <w:tmpl w:val="A2DA22EC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5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28"/>
  </w:num>
  <w:num w:numId="8">
    <w:abstractNumId w:val="23"/>
  </w:num>
  <w:num w:numId="9">
    <w:abstractNumId w:val="31"/>
  </w:num>
  <w:num w:numId="10">
    <w:abstractNumId w:val="15"/>
  </w:num>
  <w:num w:numId="11">
    <w:abstractNumId w:val="27"/>
  </w:num>
  <w:num w:numId="12">
    <w:abstractNumId w:val="26"/>
  </w:num>
  <w:num w:numId="13">
    <w:abstractNumId w:val="8"/>
  </w:num>
  <w:num w:numId="14">
    <w:abstractNumId w:val="10"/>
  </w:num>
  <w:num w:numId="15">
    <w:abstractNumId w:val="24"/>
  </w:num>
  <w:num w:numId="16">
    <w:abstractNumId w:val="4"/>
  </w:num>
  <w:num w:numId="17">
    <w:abstractNumId w:val="21"/>
  </w:num>
  <w:num w:numId="18">
    <w:abstractNumId w:val="13"/>
  </w:num>
  <w:num w:numId="19">
    <w:abstractNumId w:val="3"/>
  </w:num>
  <w:num w:numId="20">
    <w:abstractNumId w:val="7"/>
  </w:num>
  <w:num w:numId="21">
    <w:abstractNumId w:val="22"/>
  </w:num>
  <w:num w:numId="22">
    <w:abstractNumId w:val="12"/>
  </w:num>
  <w:num w:numId="23">
    <w:abstractNumId w:val="9"/>
  </w:num>
  <w:num w:numId="24">
    <w:abstractNumId w:val="6"/>
  </w:num>
  <w:num w:numId="25">
    <w:abstractNumId w:val="30"/>
  </w:num>
  <w:num w:numId="26">
    <w:abstractNumId w:val="5"/>
  </w:num>
  <w:num w:numId="27">
    <w:abstractNumId w:val="29"/>
  </w:num>
  <w:num w:numId="28">
    <w:abstractNumId w:val="16"/>
  </w:num>
  <w:num w:numId="29">
    <w:abstractNumId w:val="0"/>
  </w:num>
  <w:num w:numId="30">
    <w:abstractNumId w:val="19"/>
  </w:num>
  <w:num w:numId="31">
    <w:abstractNumId w:val="32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56FC5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9C5"/>
    <w:rsid w:val="001F6D93"/>
    <w:rsid w:val="00207667"/>
    <w:rsid w:val="00207B02"/>
    <w:rsid w:val="00210FC6"/>
    <w:rsid w:val="002172C7"/>
    <w:rsid w:val="002201CE"/>
    <w:rsid w:val="00222426"/>
    <w:rsid w:val="00222571"/>
    <w:rsid w:val="0026555A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E3639"/>
    <w:rsid w:val="002E4DFD"/>
    <w:rsid w:val="002F5D95"/>
    <w:rsid w:val="003162CD"/>
    <w:rsid w:val="00326D0D"/>
    <w:rsid w:val="003415F3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5634"/>
    <w:rsid w:val="00653BB8"/>
    <w:rsid w:val="0066248C"/>
    <w:rsid w:val="00666BA0"/>
    <w:rsid w:val="006742FA"/>
    <w:rsid w:val="00683BA2"/>
    <w:rsid w:val="00691FB3"/>
    <w:rsid w:val="006A0B64"/>
    <w:rsid w:val="006A2C42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6ECD"/>
    <w:rsid w:val="0079199D"/>
    <w:rsid w:val="007961A9"/>
    <w:rsid w:val="007C2D47"/>
    <w:rsid w:val="007E084E"/>
    <w:rsid w:val="007E7ABC"/>
    <w:rsid w:val="007F1681"/>
    <w:rsid w:val="00802FE3"/>
    <w:rsid w:val="008135BC"/>
    <w:rsid w:val="00816846"/>
    <w:rsid w:val="00822FAC"/>
    <w:rsid w:val="00840C95"/>
    <w:rsid w:val="00842679"/>
    <w:rsid w:val="00872029"/>
    <w:rsid w:val="0088474E"/>
    <w:rsid w:val="008907F0"/>
    <w:rsid w:val="008911B6"/>
    <w:rsid w:val="008968AD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3B3"/>
    <w:rsid w:val="0096556F"/>
    <w:rsid w:val="00965D4F"/>
    <w:rsid w:val="00980016"/>
    <w:rsid w:val="00990704"/>
    <w:rsid w:val="009954B8"/>
    <w:rsid w:val="009A4457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5B52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03"/>
    <w:rsid w:val="00D03BCB"/>
    <w:rsid w:val="00D16225"/>
    <w:rsid w:val="00D23D84"/>
    <w:rsid w:val="00D2466C"/>
    <w:rsid w:val="00D35A51"/>
    <w:rsid w:val="00D37F3F"/>
    <w:rsid w:val="00D60E9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E1B4F36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827A-C650-4EA3-941E-7F2CC7D6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510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67</cp:revision>
  <cp:lastPrinted>2019-03-12T16:31:00Z</cp:lastPrinted>
  <dcterms:created xsi:type="dcterms:W3CDTF">2015-04-07T15:43:00Z</dcterms:created>
  <dcterms:modified xsi:type="dcterms:W3CDTF">2019-03-12T18:01:00Z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